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9011DC" w:rsidRPr="009011DC" w:rsidTr="009011DC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11DC" w:rsidRPr="009011DC" w:rsidRDefault="009011DC" w:rsidP="009011DC">
            <w:pPr>
              <w:spacing w:after="240" w:line="240" w:lineRule="auto"/>
              <w:contextualSpacing w:val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COAST COMMUNITY COLLEGE DISTRICT</w:t>
            </w:r>
            <w:r w:rsidRPr="009011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invites applications for the position of:</w:t>
            </w:r>
          </w:p>
          <w:p w:rsidR="009011DC" w:rsidRPr="009011DC" w:rsidRDefault="009011DC" w:rsidP="009011DC">
            <w:pPr>
              <w:spacing w:before="100" w:beforeAutospacing="1" w:after="100" w:afterAutospacing="1" w:line="240" w:lineRule="auto"/>
              <w:contextualSpacing w:val="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>Administrative Director, Institutional Effectiveness and Planning</w:t>
            </w:r>
          </w:p>
          <w:p w:rsidR="009011DC" w:rsidRPr="009011DC" w:rsidRDefault="009011DC" w:rsidP="009011DC">
            <w:pPr>
              <w:spacing w:after="0" w:line="240" w:lineRule="auto"/>
              <w:contextualSpacing w:val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9011DC" w:rsidRPr="009011DC" w:rsidRDefault="009011DC" w:rsidP="009011DC">
      <w:pPr>
        <w:spacing w:after="0" w:line="240" w:lineRule="auto"/>
        <w:contextualSpacing w:val="0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17"/>
        <w:gridCol w:w="7463"/>
      </w:tblGrid>
      <w:tr w:rsidR="009011DC" w:rsidRPr="009011DC" w:rsidTr="009011DC">
        <w:trPr>
          <w:tblCellSpacing w:w="0" w:type="dxa"/>
        </w:trPr>
        <w:tc>
          <w:tcPr>
            <w:tcW w:w="1620" w:type="dxa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SALARY: </w:t>
            </w:r>
          </w:p>
        </w:tc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$104,623.92 - $137,807.41 Annually 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OPENING DATE: </w:t>
            </w:r>
          </w:p>
        </w:tc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11/06/13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CLOSING DATE: </w:t>
            </w:r>
          </w:p>
        </w:tc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12/05/13 11:59 PM </w:t>
            </w:r>
          </w:p>
        </w:tc>
      </w:tr>
    </w:tbl>
    <w:p w:rsidR="009011DC" w:rsidRPr="009011DC" w:rsidRDefault="009011DC" w:rsidP="009011DC">
      <w:pPr>
        <w:spacing w:after="0" w:line="240" w:lineRule="auto"/>
        <w:contextualSpacing w:val="0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40"/>
      </w:tblGrid>
      <w:tr w:rsidR="009011DC" w:rsidRPr="009011DC" w:rsidTr="009011DC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DEFINITION: 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before="100" w:beforeAutospacing="1" w:after="100" w:afterAutospacing="1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DESCRIPTION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Under the administrative direction of the President, the Administrative Director of Institutional Effectiveness &amp; Planning provides leadership in planning, organizing and directing the operations and activities involved in institutional effectiveness to facilitate college strategic planning efforts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The position responsibilities will include: leadership of the College’s research, planning, program review, outcomes assessment, and recurring accreditation functions; development of policies, procedures, operational systems, and other related processes; determining implications of College practices, policies, measures and procedures; development and implementation of related projects, studies, surveys, support and reporting systems and procedures; and supervision and evaluation of assigned personnel.</w:t>
            </w:r>
          </w:p>
          <w:p w:rsidR="009011DC" w:rsidRPr="009011DC" w:rsidRDefault="009011DC" w:rsidP="009011DC">
            <w:pPr>
              <w:spacing w:before="100" w:beforeAutospacing="1" w:after="100" w:afterAutospacing="1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EXAMPLES OF DUTIES: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 Duties may include, but are not limited to, the following: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a) In consultation with the President and Vice-Presidents, promotes and coordinates College planning activities; ensures that strategic planning is integrated with College budgeting and assessment cycles; plans, implements and evaluates short- and long-range strategies, goals and objectives for College strategic planning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b) Administer a comprehensive institutional research program that includes the completion of state and federal reports needed for decision-making related to student success and retention, policy formation, the assessment of student learning, accreditation, enrollment management and institutional planning and effectiveness.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c) Support and facilitate the College's strategic planning process.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d) Collaborate with college planning councils and administrative units on the alignment of institutional effectiveness functions with the mission and vision of the College.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e) Lead the development and implementation of strategies and processes to improve the effectiveness of all operational areas of the College through the college’s program review and planning processes.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 xml:space="preserve">f) Provide leadership for the coordination, 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design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 and implementation of specific research studies and surveying efforts in collaboration with appropriate college staff.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g) Ensure that meaningful, appropriate data and information are available to meet the decision-making needs of the college.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lastRenderedPageBreak/>
              <w:t>h) Compile a data warehouse, analyze, evaluate, and maintain statistical and other data for reports related to institutional effectiveness including: enrollment, demographics, productivity, student success, student equity, retention, persistence and transfer rates, and provide reports as assigned; coordinate timely responses to surveys and reports required by external agencies and other ongoing efforts of the College to measure its effectiveness.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</w:r>
            <w:proofErr w:type="spell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i</w:t>
            </w:r>
            <w:proofErr w:type="spell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) Participate in and provide leadership with the Student Learning Outcomes and Assessment activities by providing research and assessment support and serving on the Appropriate Committees.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 xml:space="preserve">j) Collaborate with others in determining educational and financial effectiveness, and continuous improvement of various College departments, 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programs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 and services.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k) Prepare a variety of mandated and requested College, state and federal reports.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l) Maintain current knowledge of laws, codes, ordinances, regulations and pending legislation related to institutional assessment, research, planning and accreditation; modify projects, studies, functions and procedures to assure compliance with local, state and federal requirements as appropriate.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m) Review and evaluate work to assure compliance with established standards, requirements, and procedures.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 xml:space="preserve">n) Monitor internal and external data 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trends and keep the campus current concerning demographic and community information and adequacy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 and effectiveness of College services.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 xml:space="preserve">o) Participate in and provide leadership for all accreditation initiatives and institutional reports; provide direction 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for the accreditation process through direct studies and data compilation in preparation for accreditation reviews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.</w:t>
            </w: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p) Oversee the daily operation of the Offices of Institutional Effectiveness and Research, including providing leadership and supervision of the staff assigned to the office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q) Other duties as assigned.</w:t>
            </w:r>
            <w:proofErr w:type="gramEnd"/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QUALIFICATIONS: 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before="100" w:beforeAutospacing="1" w:after="100" w:afterAutospacing="1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MINIMUM QUALIFICATIONS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Must meet one of the following qualifications under (a) through (b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):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a) Possess a Master’s degree from an accredited institution AND one year of formal training, internship, or leadership experience reasonably related to the administrator’s assignment.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b) A combination of education and experience that is at least the equivalent to the above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Candidates making application 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on the basis of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 equivalency must submit an Application for Equivalency in addition to all other required materials.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c) Sensitivity to and understanding of the diverse academic, socioeconomic, cultural, disability, and ethnic backgrounds of community college students.</w:t>
            </w:r>
            <w:proofErr w:type="gramEnd"/>
          </w:p>
          <w:p w:rsidR="009011DC" w:rsidRPr="009011DC" w:rsidRDefault="009011DC" w:rsidP="009011DC">
            <w:pPr>
              <w:spacing w:before="100" w:beforeAutospacing="1" w:after="100" w:afterAutospacing="1" w:line="240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DESIRABLE QUALIFICATIONS</w:t>
            </w:r>
            <w:proofErr w:type="gramStart"/>
            <w:r w:rsidRPr="009011DC"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  <w:t>: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1. Knowledge of educational administration and leadership.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 xml:space="preserve">2. Knowledge of policies, 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laws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 and regulations for California Community Colleges.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3. Knowledge of computer applications for effective management and advancement of research and planning services.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4. Knowledge of budget management, 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development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 and accounting procedures.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5. Knowledge of personnel administration and practice.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6. Demonstrated experience working with advanced institutional research techniques and statistical analysis and programming software, including at least three years of successful management experience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7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Extensive knowledge of and proficiency with research design, analysis and presentation, program evaluation and outcomes assessment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8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Demonstrated experience building and leading strategic planning efforts and processes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9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Knowledge of principles and practices of program development and evaluation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10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Knowledge of types of projects, surveys and studies used in assessing institutional effectiveness, program review, assisting with College planning, accreditation and decision-making; and determining implications College practices, policies, measures and procedures</w:t>
            </w:r>
            <w:r w:rsidRPr="009011DC">
              <w:rPr>
                <w:rFonts w:ascii="Arial" w:eastAsia="Calibri" w:hAnsi="Arial" w:cs="Arial"/>
                <w:color w:val="000000"/>
                <w:szCs w:val="24"/>
              </w:rPr>
              <w:br/>
              <w:t>11</w:t>
            </w:r>
            <w:proofErr w:type="gramStart"/>
            <w:r w:rsidRPr="009011DC">
              <w:rPr>
                <w:rFonts w:ascii="Arial" w:eastAsia="Calibri" w:hAnsi="Arial" w:cs="Arial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Arial" w:eastAsia="Calibri" w:hAnsi="Arial" w:cs="Arial"/>
                <w:color w:val="000000"/>
                <w:szCs w:val="24"/>
              </w:rPr>
              <w:t>Familiarity with issues and requirements related to institutional research and planning with California Community Colleges, including Title V, AB1725 and Accreditation Standards.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CONDITIONS OF EMPLOYMENT: 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CLASSIFIED MANAGERS: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This is a full-time, 12-month, classified management position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The normal hours of work will be 8:00 a.m. to 5:00 P.M., Monday through Friday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However, some flexibility such as evenings and week-ends will be required to meet the needs of the department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The effective date of employment 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will be arranged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 with the supervisor.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PAY PHILOSOPHY</w:t>
            </w: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: </w:t>
            </w: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br/>
              <w:t>Starting salaries for management and supervisory positions are based on a combination of education, qualifications and experience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Initial placement is within the starting salary range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Further advancements 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are based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 on initial salary placement.</w:t>
            </w:r>
          </w:p>
          <w:p w:rsidR="009011DC" w:rsidRPr="009011DC" w:rsidRDefault="009011DC" w:rsidP="009011DC">
            <w:pPr>
              <w:spacing w:before="100" w:beforeAutospacing="1" w:after="100" w:afterAutospacing="1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</w:rPr>
              <w:t>PHYSICAL DEMANDS AND WORK ENVIRONMENT</w:t>
            </w:r>
          </w:p>
          <w:p w:rsidR="009011DC" w:rsidRPr="009011DC" w:rsidRDefault="009011DC" w:rsidP="009011DC">
            <w:pPr>
              <w:numPr>
                <w:ilvl w:val="0"/>
                <w:numId w:val="1"/>
              </w:numPr>
              <w:spacing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The physical demands are representative of those that 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must be met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 by an employee to successfully perform the essential functions of this job. </w:t>
            </w:r>
          </w:p>
          <w:p w:rsidR="009011DC" w:rsidRPr="009011DC" w:rsidRDefault="009011DC" w:rsidP="009011DC">
            <w:pPr>
              <w:numPr>
                <w:ilvl w:val="0"/>
                <w:numId w:val="1"/>
              </w:numPr>
              <w:spacing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The work environment characteristics are representative of those an employee encounters while performing the essential functions of this job. </w:t>
            </w:r>
          </w:p>
          <w:p w:rsidR="009011DC" w:rsidRPr="009011DC" w:rsidRDefault="009011DC" w:rsidP="009011DC">
            <w:pPr>
              <w:numPr>
                <w:ilvl w:val="0"/>
                <w:numId w:val="1"/>
              </w:numPr>
              <w:spacing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Reasonable accommodations 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may be made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 to enable individuals with </w:t>
            </w: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lastRenderedPageBreak/>
              <w:t xml:space="preserve">disabilities to perform the essential functions. </w:t>
            </w:r>
          </w:p>
          <w:p w:rsidR="009011DC" w:rsidRPr="009011DC" w:rsidRDefault="009011DC" w:rsidP="009011DC">
            <w:pPr>
              <w:numPr>
                <w:ilvl w:val="0"/>
                <w:numId w:val="1"/>
              </w:numPr>
              <w:spacing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A detailed list of physical demands and work environment is on file and </w:t>
            </w:r>
            <w:proofErr w:type="gramStart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>will be provided</w:t>
            </w:r>
            <w:proofErr w:type="gramEnd"/>
            <w:r w:rsidRPr="009011DC">
              <w:rPr>
                <w:rFonts w:ascii="Verdana" w:eastAsia="Times New Roman" w:hAnsi="Verdana" w:cs="Times New Roman"/>
                <w:color w:val="000000"/>
                <w:szCs w:val="24"/>
              </w:rPr>
              <w:t xml:space="preserve"> upon request.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4"/>
              </w:rPr>
              <w:t>Coast Community College District is an Equal Opportunity Employer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20" w:type="dxa"/>
            </w:tcMar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9011DC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ADDITIONAL INFORMATION: </w: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APPLICATION PROCEDURES: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All application materials become the property of the Coast Community College District and will NOT be copied or returned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Information for TDD users is available by calling (714) 438-4755.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  <w:u w:val="single"/>
              </w:rPr>
              <w:t>Application Requirements:</w:t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 To be considered for employment you must submit a complete application packet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A complete application packet includes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: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  <w:t>1. A complete Classified/Management Application.</w:t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  <w:t>2. A current resume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3. A cover letter highlighting your qualifications for the desired position.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  <w:t>4. Please provide a written response to the Desirable Qualifications #s 1 - 11 listed in the Minimum Qualifications section of this job posting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Be sure to attach your response as a separate document, not exceed three (3) pages, to your application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  <w:t>To ensure consistency and fairness to all applicants, please do not submit materials in addition to those requested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Additional materials will not be considered or returned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Be sure to complete all questions and sections of the application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For questions which may not apply, indicate "n/a" (not applicable)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If you do not know an answer, please indicate so, but do not leave any space blank. 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All applications will be screened under a process of utmost confidentiality by a committee of representatives from the college community (reference Board Policy 050-1-1)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Please note: Possession of the minimum qualifications does not ensure an interview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  <w:t>Any documents that you are unable to attach can be faxed to (714) 782-6065</w:t>
            </w:r>
            <w:proofErr w:type="gramStart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Faxes must clearly indicate the job you are applying to and your name.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</w:pP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br/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  <w:u w:val="single"/>
              </w:rPr>
              <w:lastRenderedPageBreak/>
              <w:t xml:space="preserve">Disability Accommodations: </w:t>
            </w:r>
            <w:r w:rsidRPr="009011DC">
              <w:rPr>
                <w:rFonts w:ascii="Tahoma" w:eastAsia="Times New Roman" w:hAnsi="Tahoma" w:cs="Tahoma"/>
                <w:b/>
                <w:bCs/>
                <w:color w:val="000000"/>
                <w:szCs w:val="24"/>
              </w:rPr>
              <w:t>If you require accommodations in the Application or Examination Process, please notify Human Resources by calling (714) 438-4714 OR (714) 438-4713.</w:t>
            </w:r>
          </w:p>
          <w:p w:rsidR="009011DC" w:rsidRPr="009011DC" w:rsidRDefault="009011DC" w:rsidP="009011DC">
            <w:pPr>
              <w:spacing w:after="0" w:line="288" w:lineRule="auto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br/>
              <w:t>Applications must be received no later than the posted closing date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There are NO EXCEPTIONS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Electronic applications may be completed by visiting </w:t>
            </w:r>
            <w:hyperlink r:id="rId5" w:history="1">
              <w:r w:rsidRPr="009011DC">
                <w:rPr>
                  <w:rFonts w:ascii="Tahoma" w:eastAsia="Times New Roman" w:hAnsi="Tahoma" w:cs="Tahoma"/>
                  <w:color w:val="000000"/>
                  <w:szCs w:val="24"/>
                  <w:u w:val="single"/>
                </w:rPr>
                <w:t>www.cccd.edu/employment</w:t>
              </w:r>
            </w:hyperlink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Once you have completed an electronic application, you may apply to open positions within the Coast Community College District by submitting the application and all other required materials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Required materials differ for each open position and must be complete when submitted for a specific posting</w:t>
            </w:r>
            <w:proofErr w:type="gramStart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 xml:space="preserve">. </w:t>
            </w:r>
            <w:proofErr w:type="gramEnd"/>
            <w:r w:rsidRPr="009011DC">
              <w:rPr>
                <w:rFonts w:ascii="Tahoma" w:eastAsia="Times New Roman" w:hAnsi="Tahoma" w:cs="Tahoma"/>
                <w:color w:val="000000"/>
                <w:szCs w:val="24"/>
              </w:rPr>
              <w:t>Instructions for completing applications and applying to posted positions are available online or by calling Applicant Processing at (714) 438-4714.</w:t>
            </w:r>
            <w:r w:rsidRPr="009011DC">
              <w:rPr>
                <w:rFonts w:ascii="Tahoma" w:eastAsia="Times New Roman" w:hAnsi="Tahoma" w:cs="Tahoma"/>
                <w:i/>
                <w:iCs/>
                <w:color w:val="000000"/>
                <w:szCs w:val="24"/>
              </w:rPr>
              <w:br/>
              <w:t>Coast Community College District is an Equal Opportunity Employer</w:t>
            </w:r>
          </w:p>
        </w:tc>
      </w:tr>
    </w:tbl>
    <w:p w:rsidR="009011DC" w:rsidRPr="009011DC" w:rsidRDefault="009011DC" w:rsidP="009011DC">
      <w:pPr>
        <w:spacing w:after="0" w:line="240" w:lineRule="auto"/>
        <w:contextualSpacing w:val="0"/>
        <w:rPr>
          <w:rFonts w:ascii="Verdana" w:eastAsia="Times New Roman" w:hAnsi="Verdana" w:cs="Times New Roman"/>
          <w:sz w:val="21"/>
          <w:szCs w:val="21"/>
        </w:rPr>
      </w:pPr>
    </w:p>
    <w:tbl>
      <w:tblPr>
        <w:tblW w:w="5000" w:type="pct"/>
        <w:tblCellSpacing w:w="0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9011DC" w:rsidRPr="009011DC" w:rsidTr="009011DC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</w:p>
        </w:tc>
      </w:tr>
      <w:tr w:rsidR="009011DC" w:rsidRPr="009011DC" w:rsidTr="009011DC">
        <w:trPr>
          <w:tblCellSpacing w:w="0" w:type="dxa"/>
        </w:trPr>
        <w:tc>
          <w:tcPr>
            <w:tcW w:w="2500" w:type="pct"/>
            <w:gridSpan w:val="2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Coast Colleges is an Equal Opportunity Employer </w:t>
            </w:r>
          </w:p>
          <w:p w:rsidR="009011DC" w:rsidRPr="009011DC" w:rsidRDefault="009011DC" w:rsidP="009011DC">
            <w:pPr>
              <w:spacing w:after="0" w:line="240" w:lineRule="auto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011DC" w:rsidRPr="009011DC" w:rsidTr="009011DC">
        <w:trPr>
          <w:tblCellSpacing w:w="0" w:type="dxa"/>
        </w:trPr>
        <w:tc>
          <w:tcPr>
            <w:tcW w:w="2500" w:type="pct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APPLICATIONS MAY BE FILED ONLINE AT: </w:t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hyperlink r:id="rId6" w:history="1">
              <w:r w:rsidRPr="009011DC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</w:rPr>
                <w:t>http://www.cccd.edu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 xml:space="preserve">1370 </w:t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Adams Avenue</w:t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Costa Mesa, CA 92626</w:t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  <w:t>714-438-4712</w:t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r w:rsidRPr="009011DC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br/>
            </w:r>
            <w:hyperlink r:id="rId7" w:history="1">
              <w:r w:rsidRPr="009011DC">
                <w:rPr>
                  <w:rFonts w:ascii="Verdana" w:eastAsia="Times New Roman" w:hAnsi="Verdana" w:cs="Times New Roman"/>
                  <w:color w:val="0000FF"/>
                  <w:sz w:val="14"/>
                  <w:u w:val="single"/>
                </w:rPr>
                <w:t>abell@mail.cccd.edu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9011DC" w:rsidRPr="009011DC" w:rsidRDefault="009011DC" w:rsidP="009011DC">
            <w:pPr>
              <w:spacing w:after="0" w:line="240" w:lineRule="auto"/>
              <w:contextualSpacing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E37"/>
    <w:multiLevelType w:val="multilevel"/>
    <w:tmpl w:val="0D7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11DC"/>
    <w:rsid w:val="00002F42"/>
    <w:rsid w:val="00007194"/>
    <w:rsid w:val="00016373"/>
    <w:rsid w:val="00032BE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011DC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NormalWeb">
    <w:name w:val="Normal (Web)"/>
    <w:basedOn w:val="Normal"/>
    <w:uiPriority w:val="99"/>
    <w:unhideWhenUsed/>
    <w:rsid w:val="009011DC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9011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ll@mail.c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d.edu" TargetMode="External"/><Relationship Id="rId5" Type="http://schemas.openxmlformats.org/officeDocument/2006/relationships/hyperlink" Target="http://www.cccd.edu/employ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2013-11-13T16:35:00Z</dcterms:created>
  <dcterms:modified xsi:type="dcterms:W3CDTF">2013-11-13T16:37:00Z</dcterms:modified>
</cp:coreProperties>
</file>